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0ED90">
      <w:pPr>
        <w:rPr>
          <w:rFonts w:hint="eastAsia" w:ascii="黑体" w:hAnsi="黑体" w:eastAsia="黑体"/>
          <w:b/>
          <w:bCs/>
          <w:sz w:val="24"/>
          <w:szCs w:val="24"/>
        </w:rPr>
      </w:pPr>
      <w:bookmarkStart w:id="0" w:name="_Hlk161476947"/>
    </w:p>
    <w:p w14:paraId="0EDFCE9F">
      <w:pPr>
        <w:rPr>
          <w:rFonts w:hint="eastAsia" w:ascii="黑体" w:hAnsi="黑体" w:eastAsia="黑体"/>
          <w:b/>
          <w:bCs/>
          <w:sz w:val="24"/>
          <w:szCs w:val="24"/>
        </w:rPr>
      </w:pPr>
      <w:r>
        <w:rPr>
          <w:rFonts w:hint="eastAsia" w:ascii="黑体" w:hAnsi="黑体" w:eastAsia="黑体"/>
          <w:b/>
          <w:bCs/>
          <w:sz w:val="24"/>
          <w:szCs w:val="24"/>
        </w:rPr>
        <w:t>附：第十一届全国大学生能源经济学术创意大赛蚌埠工商学院获奖名单</w:t>
      </w:r>
    </w:p>
    <w:p w14:paraId="551E6F4F">
      <w:pPr>
        <w:jc w:val="center"/>
        <w:rPr>
          <w:rFonts w:hint="eastAsia" w:ascii="黑体" w:hAnsi="黑体" w:eastAsia="黑体" w:cs="Helvetica"/>
          <w:color w:val="000000"/>
          <w:sz w:val="24"/>
          <w:szCs w:val="24"/>
        </w:rPr>
      </w:pPr>
      <w:r>
        <w:rPr>
          <w:rFonts w:hint="eastAsia" w:ascii="黑体" w:hAnsi="黑体" w:eastAsia="黑体" w:cs="Helvetica"/>
          <w:b/>
          <w:bCs/>
          <w:color w:val="000000"/>
          <w:sz w:val="24"/>
          <w:szCs w:val="24"/>
        </w:rPr>
        <w:t xml:space="preserve">一等奖（ </w:t>
      </w:r>
      <w:r>
        <w:rPr>
          <w:rFonts w:hint="eastAsia" w:ascii="黑体" w:hAnsi="黑体" w:eastAsia="黑体"/>
          <w:sz w:val="24"/>
          <w:szCs w:val="24"/>
          <w:u w:val="single"/>
        </w:rPr>
        <w:t xml:space="preserve">5 </w:t>
      </w:r>
      <w:r>
        <w:rPr>
          <w:rFonts w:hint="eastAsia" w:ascii="黑体" w:hAnsi="黑体" w:eastAsia="黑体" w:cs="Helvetica"/>
          <w:b/>
          <w:bCs/>
          <w:color w:val="000000"/>
          <w:sz w:val="24"/>
          <w:szCs w:val="24"/>
        </w:rPr>
        <w:t>项）</w:t>
      </w:r>
    </w:p>
    <w:tbl>
      <w:tblPr>
        <w:tblStyle w:val="5"/>
        <w:tblW w:w="5000" w:type="pct"/>
        <w:jc w:val="center"/>
        <w:tblCellSpacing w:w="0" w:type="dxa"/>
        <w:shd w:val="clear" w:color="auto" w:fill="FFFFFF"/>
        <w:tblLayout w:type="autofit"/>
        <w:tblCellMar>
          <w:top w:w="0" w:type="dxa"/>
          <w:left w:w="0" w:type="dxa"/>
          <w:bottom w:w="0" w:type="dxa"/>
          <w:right w:w="0" w:type="dxa"/>
        </w:tblCellMar>
      </w:tblPr>
      <w:tblGrid>
        <w:gridCol w:w="824"/>
        <w:gridCol w:w="2842"/>
        <w:gridCol w:w="1945"/>
        <w:gridCol w:w="1349"/>
        <w:gridCol w:w="1586"/>
      </w:tblGrid>
      <w:tr w14:paraId="5BDB1448">
        <w:tblPrEx>
          <w:shd w:val="clear" w:color="auto" w:fill="FFFFFF"/>
          <w:tblCellMar>
            <w:top w:w="0" w:type="dxa"/>
            <w:left w:w="0" w:type="dxa"/>
            <w:bottom w:w="0" w:type="dxa"/>
            <w:right w:w="0" w:type="dxa"/>
          </w:tblCellMar>
        </w:tblPrEx>
        <w:trPr>
          <w:trHeight w:val="1088" w:hRule="atLeast"/>
          <w:tblCellSpacing w:w="0" w:type="dxa"/>
          <w:jc w:val="center"/>
        </w:trPr>
        <w:tc>
          <w:tcPr>
            <w:tcW w:w="482" w:type="pct"/>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747BD004">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序号</w:t>
            </w:r>
          </w:p>
        </w:tc>
        <w:tc>
          <w:tcPr>
            <w:tcW w:w="1663" w:type="pct"/>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108E004B">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作品标题</w:t>
            </w:r>
          </w:p>
        </w:tc>
        <w:tc>
          <w:tcPr>
            <w:tcW w:w="1138" w:type="pct"/>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42142123">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作品编号</w:t>
            </w:r>
          </w:p>
        </w:tc>
        <w:tc>
          <w:tcPr>
            <w:tcW w:w="789" w:type="pct"/>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0DF628F4">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作品类型</w:t>
            </w:r>
          </w:p>
        </w:tc>
        <w:tc>
          <w:tcPr>
            <w:tcW w:w="928" w:type="pct"/>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14F9A48E">
            <w:pPr>
              <w:jc w:val="center"/>
              <w:rPr>
                <w:rFonts w:hint="eastAsia" w:ascii="等线" w:hAnsi="等线" w:eastAsia="等线" w:cs="Helvetica"/>
                <w:b/>
                <w:bCs/>
                <w:color w:val="000000"/>
                <w:sz w:val="24"/>
                <w:szCs w:val="24"/>
              </w:rPr>
            </w:pPr>
            <w:r>
              <w:rPr>
                <w:rFonts w:hint="eastAsia" w:ascii="等线" w:hAnsi="等线" w:eastAsia="等线" w:cs="Helvetica"/>
                <w:b/>
                <w:bCs/>
                <w:color w:val="000000"/>
                <w:sz w:val="24"/>
                <w:szCs w:val="24"/>
              </w:rPr>
              <w:t>全部作者</w:t>
            </w:r>
          </w:p>
        </w:tc>
      </w:tr>
      <w:tr w14:paraId="725FB3FE">
        <w:tblPrEx>
          <w:shd w:val="clear" w:color="auto" w:fill="FFFFFF"/>
          <w:tblCellMar>
            <w:top w:w="0" w:type="dxa"/>
            <w:left w:w="0" w:type="dxa"/>
            <w:bottom w:w="0" w:type="dxa"/>
            <w:right w:w="0" w:type="dxa"/>
          </w:tblCellMar>
        </w:tblPrEx>
        <w:trPr>
          <w:trHeight w:val="1578" w:hRule="atLeast"/>
          <w:tblCellSpacing w:w="0" w:type="dxa"/>
          <w:jc w:val="center"/>
        </w:trPr>
        <w:tc>
          <w:tcPr>
            <w:tcW w:w="48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BC005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16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64C922">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秸韵皖北，耆力兴乡——新质生产力赋能 “田间废料”变“振兴引擎”</w:t>
            </w:r>
          </w:p>
        </w:tc>
        <w:tc>
          <w:tcPr>
            <w:tcW w:w="113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ED88CE">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ECC-2025-09548</w:t>
            </w:r>
          </w:p>
        </w:tc>
        <w:tc>
          <w:tcPr>
            <w:tcW w:w="78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92171D">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w:t>
            </w:r>
          </w:p>
        </w:tc>
        <w:tc>
          <w:tcPr>
            <w:tcW w:w="9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604AE16">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陈伟</w:t>
            </w:r>
          </w:p>
          <w:p w14:paraId="50A9CF9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郑茜双</w:t>
            </w:r>
          </w:p>
          <w:p w14:paraId="74B8AEDD">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张雪晨</w:t>
            </w:r>
          </w:p>
        </w:tc>
      </w:tr>
      <w:tr w14:paraId="69B7F599">
        <w:tblPrEx>
          <w:shd w:val="clear" w:color="auto" w:fill="FFFFFF"/>
          <w:tblCellMar>
            <w:top w:w="0" w:type="dxa"/>
            <w:left w:w="0" w:type="dxa"/>
            <w:bottom w:w="0" w:type="dxa"/>
            <w:right w:w="0" w:type="dxa"/>
          </w:tblCellMar>
        </w:tblPrEx>
        <w:trPr>
          <w:trHeight w:val="1827" w:hRule="atLeast"/>
          <w:tblCellSpacing w:w="0" w:type="dxa"/>
          <w:jc w:val="center"/>
        </w:trPr>
        <w:tc>
          <w:tcPr>
            <w:tcW w:w="48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1CFC9C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16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B6B9C39">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“数”说碳排，向“新”而行——探究数字化转型赋能企业绿色低碳发展的机理和路径</w:t>
            </w:r>
          </w:p>
        </w:tc>
        <w:tc>
          <w:tcPr>
            <w:tcW w:w="113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4445FF1">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ECC-2025-21235</w:t>
            </w:r>
          </w:p>
        </w:tc>
        <w:tc>
          <w:tcPr>
            <w:tcW w:w="78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213B2F2">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w:t>
            </w:r>
          </w:p>
        </w:tc>
        <w:tc>
          <w:tcPr>
            <w:tcW w:w="9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725BCD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文冰冰</w:t>
            </w:r>
          </w:p>
          <w:p w14:paraId="55D3E9E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洪悦</w:t>
            </w:r>
          </w:p>
          <w:p w14:paraId="19F597A6">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范雯雯</w:t>
            </w:r>
          </w:p>
          <w:p w14:paraId="38A3789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陆忠辉</w:t>
            </w:r>
          </w:p>
        </w:tc>
      </w:tr>
      <w:tr w14:paraId="6B5BB742">
        <w:tblPrEx>
          <w:shd w:val="clear" w:color="auto" w:fill="FFFFFF"/>
          <w:tblCellMar>
            <w:top w:w="0" w:type="dxa"/>
            <w:left w:w="0" w:type="dxa"/>
            <w:bottom w:w="0" w:type="dxa"/>
            <w:right w:w="0" w:type="dxa"/>
          </w:tblCellMar>
        </w:tblPrEx>
        <w:trPr>
          <w:trHeight w:val="1984" w:hRule="atLeast"/>
          <w:tblCellSpacing w:w="0" w:type="dxa"/>
          <w:jc w:val="center"/>
        </w:trPr>
        <w:tc>
          <w:tcPr>
            <w:tcW w:w="48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ED788D3">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p>
        </w:tc>
        <w:tc>
          <w:tcPr>
            <w:tcW w:w="16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F5B9B2A">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新能源经济发展背景下电动车公共充电桩的调研分析——基于频率的实证研究</w:t>
            </w:r>
          </w:p>
        </w:tc>
        <w:tc>
          <w:tcPr>
            <w:tcW w:w="113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03FCF6">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ECC-2025-21868</w:t>
            </w:r>
          </w:p>
        </w:tc>
        <w:tc>
          <w:tcPr>
            <w:tcW w:w="78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EA57A5">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w:t>
            </w:r>
          </w:p>
        </w:tc>
        <w:tc>
          <w:tcPr>
            <w:tcW w:w="9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8AF661">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秦博文</w:t>
            </w:r>
          </w:p>
          <w:p w14:paraId="4E243240">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李亚楠</w:t>
            </w:r>
          </w:p>
          <w:p w14:paraId="61B17ECC">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李传琦</w:t>
            </w:r>
          </w:p>
          <w:p w14:paraId="7CD44CF6">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赵怡新</w:t>
            </w:r>
          </w:p>
        </w:tc>
      </w:tr>
      <w:tr w14:paraId="6265DAC9">
        <w:tblPrEx>
          <w:shd w:val="clear" w:color="auto" w:fill="FFFFFF"/>
          <w:tblCellMar>
            <w:top w:w="0" w:type="dxa"/>
            <w:left w:w="0" w:type="dxa"/>
            <w:bottom w:w="0" w:type="dxa"/>
            <w:right w:w="0" w:type="dxa"/>
          </w:tblCellMar>
        </w:tblPrEx>
        <w:trPr>
          <w:trHeight w:val="1984" w:hRule="atLeast"/>
          <w:tblCellSpacing w:w="0" w:type="dxa"/>
          <w:jc w:val="center"/>
        </w:trPr>
        <w:tc>
          <w:tcPr>
            <w:tcW w:w="48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F28F8C">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w:t>
            </w:r>
          </w:p>
        </w:tc>
        <w:tc>
          <w:tcPr>
            <w:tcW w:w="16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89CEED">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"绿"意金融，"创"新跃步——基于双碳目标的绿色金融与企业绿色创新关联关系及影响效应研究</w:t>
            </w:r>
          </w:p>
        </w:tc>
        <w:tc>
          <w:tcPr>
            <w:tcW w:w="113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31963DD">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ECC-2025-09564</w:t>
            </w:r>
          </w:p>
        </w:tc>
        <w:tc>
          <w:tcPr>
            <w:tcW w:w="78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BBAE78">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能源金融与管理</w:t>
            </w:r>
          </w:p>
        </w:tc>
        <w:tc>
          <w:tcPr>
            <w:tcW w:w="9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04D24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杨丽</w:t>
            </w:r>
          </w:p>
          <w:p w14:paraId="2CE7851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陈心池</w:t>
            </w:r>
          </w:p>
          <w:p w14:paraId="0AC6022B">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贺瑶瑶</w:t>
            </w:r>
          </w:p>
          <w:p w14:paraId="0C445B4D">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李娜</w:t>
            </w:r>
          </w:p>
        </w:tc>
      </w:tr>
      <w:tr w14:paraId="3BEFEBC3">
        <w:tblPrEx>
          <w:shd w:val="clear" w:color="auto" w:fill="FFFFFF"/>
          <w:tblCellMar>
            <w:top w:w="0" w:type="dxa"/>
            <w:left w:w="0" w:type="dxa"/>
            <w:bottom w:w="0" w:type="dxa"/>
            <w:right w:w="0" w:type="dxa"/>
          </w:tblCellMar>
        </w:tblPrEx>
        <w:trPr>
          <w:trHeight w:val="1984" w:hRule="atLeast"/>
          <w:tblCellSpacing w:w="0" w:type="dxa"/>
          <w:jc w:val="center"/>
        </w:trPr>
        <w:tc>
          <w:tcPr>
            <w:tcW w:w="482"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67D5D5C">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w:t>
            </w:r>
          </w:p>
        </w:tc>
        <w:tc>
          <w:tcPr>
            <w:tcW w:w="1663"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F53CF3">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《风劲扬帆促振兴——基于我国华北地区风能建设与乡村发展调研报告》</w:t>
            </w:r>
          </w:p>
        </w:tc>
        <w:tc>
          <w:tcPr>
            <w:tcW w:w="113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19EA7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ECC-2025-10506</w:t>
            </w:r>
          </w:p>
        </w:tc>
        <w:tc>
          <w:tcPr>
            <w:tcW w:w="789"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7940BB">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w:t>
            </w:r>
          </w:p>
        </w:tc>
        <w:tc>
          <w:tcPr>
            <w:tcW w:w="928" w:type="pc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4956C50">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周颖</w:t>
            </w:r>
          </w:p>
          <w:p w14:paraId="558AF3D6">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张茜</w:t>
            </w:r>
          </w:p>
          <w:p w14:paraId="119FA98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曹梦瑶</w:t>
            </w:r>
          </w:p>
          <w:p w14:paraId="19EF810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周琪路</w:t>
            </w:r>
          </w:p>
        </w:tc>
      </w:tr>
      <w:bookmarkEnd w:id="0"/>
    </w:tbl>
    <w:p w14:paraId="69B516EF">
      <w:pPr>
        <w:rPr>
          <w:rFonts w:hint="eastAsia"/>
        </w:rPr>
      </w:pPr>
    </w:p>
    <w:p w14:paraId="6ECE8695">
      <w:pPr>
        <w:jc w:val="center"/>
        <w:rPr>
          <w:rFonts w:ascii="黑体" w:hAnsi="黑体" w:eastAsia="黑体"/>
          <w:b/>
          <w:bCs/>
          <w:sz w:val="24"/>
          <w:szCs w:val="24"/>
        </w:rPr>
      </w:pPr>
    </w:p>
    <w:p w14:paraId="6E2AB49C">
      <w:pPr>
        <w:jc w:val="center"/>
        <w:rPr>
          <w:rFonts w:hint="eastAsia" w:ascii="黑体" w:hAnsi="黑体" w:eastAsia="黑体"/>
          <w:b/>
          <w:bCs/>
          <w:sz w:val="24"/>
          <w:szCs w:val="24"/>
        </w:rPr>
      </w:pPr>
      <w:r>
        <w:rPr>
          <w:rFonts w:hint="eastAsia" w:ascii="黑体" w:hAnsi="黑体" w:eastAsia="黑体"/>
          <w:b/>
          <w:bCs/>
          <w:sz w:val="24"/>
          <w:szCs w:val="24"/>
        </w:rPr>
        <w:t>第十一届全国大学生能源经济学术创意大赛蚌埠工商学院获奖名单</w:t>
      </w:r>
    </w:p>
    <w:p w14:paraId="29BE6F67">
      <w:pPr>
        <w:jc w:val="center"/>
        <w:rPr>
          <w:rFonts w:hint="eastAsia"/>
        </w:rPr>
      </w:pPr>
      <w:r>
        <w:rPr>
          <w:rFonts w:hint="eastAsia" w:ascii="黑体" w:hAnsi="黑体" w:eastAsia="黑体" w:cs="Helvetica"/>
          <w:b/>
          <w:bCs/>
          <w:color w:val="000000"/>
          <w:sz w:val="24"/>
          <w:szCs w:val="24"/>
        </w:rPr>
        <w:t xml:space="preserve">二等奖（ </w:t>
      </w:r>
      <w:r>
        <w:rPr>
          <w:rFonts w:hint="eastAsia" w:ascii="黑体" w:hAnsi="黑体" w:eastAsia="黑体"/>
          <w:sz w:val="24"/>
          <w:szCs w:val="24"/>
          <w:u w:val="single"/>
        </w:rPr>
        <w:t xml:space="preserve">  9 </w:t>
      </w:r>
      <w:r>
        <w:rPr>
          <w:rFonts w:hint="eastAsia" w:ascii="黑体" w:hAnsi="黑体" w:eastAsia="黑体" w:cs="Helvetica"/>
          <w:b/>
          <w:bCs/>
          <w:color w:val="000000"/>
          <w:sz w:val="24"/>
          <w:szCs w:val="24"/>
        </w:rPr>
        <w:t>项）</w:t>
      </w:r>
    </w:p>
    <w:tbl>
      <w:tblPr>
        <w:tblStyle w:val="5"/>
        <w:tblW w:w="8812" w:type="dxa"/>
        <w:jc w:val="center"/>
        <w:tblCellSpacing w:w="0" w:type="dxa"/>
        <w:shd w:val="clear" w:color="auto" w:fill="FFFFFF"/>
        <w:tblLayout w:type="fixed"/>
        <w:tblCellMar>
          <w:top w:w="0" w:type="dxa"/>
          <w:left w:w="0" w:type="dxa"/>
          <w:bottom w:w="0" w:type="dxa"/>
          <w:right w:w="0" w:type="dxa"/>
        </w:tblCellMar>
      </w:tblPr>
      <w:tblGrid>
        <w:gridCol w:w="850"/>
        <w:gridCol w:w="2931"/>
        <w:gridCol w:w="2005"/>
        <w:gridCol w:w="1391"/>
        <w:gridCol w:w="1635"/>
      </w:tblGrid>
      <w:tr w14:paraId="3181918E">
        <w:tblPrEx>
          <w:shd w:val="clear" w:color="auto" w:fill="FFFFFF"/>
          <w:tblCellMar>
            <w:top w:w="0" w:type="dxa"/>
            <w:left w:w="0" w:type="dxa"/>
            <w:bottom w:w="0" w:type="dxa"/>
            <w:right w:w="0" w:type="dxa"/>
          </w:tblCellMar>
        </w:tblPrEx>
        <w:trPr>
          <w:trHeight w:val="1279"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54BDA6E7">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序号</w:t>
            </w:r>
          </w:p>
        </w:tc>
        <w:tc>
          <w:tcPr>
            <w:tcW w:w="2931"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5C19FCBF">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作品标题</w:t>
            </w:r>
          </w:p>
        </w:tc>
        <w:tc>
          <w:tcPr>
            <w:tcW w:w="2005"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5C7874E2">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作品编号</w:t>
            </w:r>
          </w:p>
        </w:tc>
        <w:tc>
          <w:tcPr>
            <w:tcW w:w="1391"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0B8B607D">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作品类型</w:t>
            </w:r>
          </w:p>
        </w:tc>
        <w:tc>
          <w:tcPr>
            <w:tcW w:w="1635"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4C6047C7">
            <w:pPr>
              <w:jc w:val="center"/>
              <w:rPr>
                <w:rFonts w:hint="eastAsia" w:ascii="等线" w:hAnsi="等线" w:eastAsia="等线" w:cs="Helvetica"/>
                <w:b/>
                <w:bCs/>
                <w:color w:val="000000"/>
                <w:sz w:val="24"/>
                <w:szCs w:val="24"/>
              </w:rPr>
            </w:pPr>
            <w:r>
              <w:rPr>
                <w:rFonts w:hint="eastAsia" w:ascii="等线" w:hAnsi="等线" w:eastAsia="等线" w:cs="Helvetica"/>
                <w:b/>
                <w:bCs/>
                <w:color w:val="000000"/>
                <w:sz w:val="24"/>
                <w:szCs w:val="24"/>
              </w:rPr>
              <w:t>全部作者</w:t>
            </w:r>
          </w:p>
        </w:tc>
      </w:tr>
      <w:tr w14:paraId="37EE6FDD">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098BB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208A5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基于低碳背景下零碳食品的消费情况分析——以安徽盼盼食品有限公司为例</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E8F8A1C">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ECC-2025-15513</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92A87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603F9B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胡静怡</w:t>
            </w:r>
          </w:p>
          <w:p w14:paraId="64B1B9F1">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欧阳子怡</w:t>
            </w:r>
          </w:p>
          <w:p w14:paraId="0C975CF3">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于千波</w:t>
            </w:r>
          </w:p>
          <w:p w14:paraId="50971D1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张玉影</w:t>
            </w:r>
          </w:p>
        </w:tc>
      </w:tr>
      <w:tr w14:paraId="055C0699">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35AFC5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B18C1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“可再生能源政策环境调研与绿色能源企业创新创业策略</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11ED02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ECC-2025-26187</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D72A21">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3288070">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孙甜甜</w:t>
            </w:r>
          </w:p>
          <w:p w14:paraId="29E9B56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段蒙</w:t>
            </w:r>
          </w:p>
          <w:p w14:paraId="657FD11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郝潇潇</w:t>
            </w:r>
          </w:p>
          <w:p w14:paraId="17DAD661">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黄欣怡</w:t>
            </w:r>
          </w:p>
        </w:tc>
      </w:tr>
      <w:tr w14:paraId="3DF3497C">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B9C126">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7D141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“双碳”背景下居民生活垃圾分类影响因素研究 ——以安徽省亳州市谯城区为例</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D27081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ECC-2025-14436</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25D21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6B5313">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王子慧</w:t>
            </w:r>
          </w:p>
          <w:p w14:paraId="1DDD623E">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吴琼</w:t>
            </w:r>
          </w:p>
          <w:p w14:paraId="525234D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刘婉晴</w:t>
            </w:r>
          </w:p>
          <w:p w14:paraId="0DD6FDFE">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郭正梅</w:t>
            </w:r>
          </w:p>
        </w:tc>
      </w:tr>
      <w:tr w14:paraId="682371E8">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CDCED3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8A011E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当环保遇上餐饮：能源经济开启的绿色革命——基于蚌埠市的调研报告</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197E0C0">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ECC-2025-12247</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DCC17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1B308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刘郡桐</w:t>
            </w:r>
          </w:p>
          <w:p w14:paraId="7871EFAD">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邵思涵</w:t>
            </w:r>
          </w:p>
          <w:p w14:paraId="2FC38449">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叶佳梦</w:t>
            </w:r>
          </w:p>
          <w:p w14:paraId="1DC315E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吴燕</w:t>
            </w:r>
          </w:p>
        </w:tc>
      </w:tr>
      <w:tr w14:paraId="7D426551">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19285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A37F60">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环境保护税对企业绩效的影响研究——来自重污染型企业的经验数据</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CA8014">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ECC-2025-17300</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BE128C0">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能源金融与管理类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B234FB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李晶灿</w:t>
            </w:r>
          </w:p>
          <w:p w14:paraId="08198A26">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王紫豪</w:t>
            </w:r>
          </w:p>
          <w:p w14:paraId="7F63F079">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梁徐青</w:t>
            </w:r>
          </w:p>
          <w:p w14:paraId="6561F4D9">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牛瑞宏</w:t>
            </w:r>
          </w:p>
        </w:tc>
      </w:tr>
      <w:tr w14:paraId="79F15ABE">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0ADBA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0B9CEB">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分布式太阳能光伏发电系统调研报告</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A0DB83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ECC-2025-10428</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5E9754">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75C5C03">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王雪瑾</w:t>
            </w:r>
          </w:p>
          <w:p w14:paraId="1953B71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闫博慧</w:t>
            </w:r>
          </w:p>
          <w:p w14:paraId="70D3515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刘佳音</w:t>
            </w:r>
          </w:p>
          <w:p w14:paraId="7B54FAD4">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万宇洁</w:t>
            </w:r>
          </w:p>
        </w:tc>
      </w:tr>
      <w:tr w14:paraId="63748457">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9E878B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638F9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碳中和背景下的地热能开发——政府-市场-社会三元博弈分析</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14593E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ECC-2025-17310</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0912AEE">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46B219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王子阳</w:t>
            </w:r>
          </w:p>
          <w:p w14:paraId="6400B851">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邓解</w:t>
            </w:r>
          </w:p>
          <w:p w14:paraId="09A463BC">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张建萍</w:t>
            </w:r>
          </w:p>
          <w:p w14:paraId="7D0B4CA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魏宇航</w:t>
            </w:r>
          </w:p>
        </w:tc>
      </w:tr>
      <w:tr w14:paraId="21A911F3">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8E67D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030B0D">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西北地区泛滥植物向持续利用能源转换调查研究</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5713CB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ECC-2025-17672</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63AC635">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619C86B">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周浩然</w:t>
            </w:r>
          </w:p>
          <w:p w14:paraId="5085BB33">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李娜</w:t>
            </w:r>
          </w:p>
          <w:p w14:paraId="3269A00C">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杨丽</w:t>
            </w:r>
          </w:p>
          <w:p w14:paraId="1D896D6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曹梦雪</w:t>
            </w:r>
          </w:p>
        </w:tc>
      </w:tr>
      <w:tr w14:paraId="06A7CD2A">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DC3B80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ECE10CC">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“双碳”战略下促进居民用电节能降碳法律机制的研究</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0250B27">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ECC-2025-14138</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3241B7A">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02EFB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周玲</w:t>
            </w:r>
          </w:p>
          <w:p w14:paraId="3356B398">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宋程程</w:t>
            </w:r>
          </w:p>
          <w:p w14:paraId="6634F01F">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钱锦</w:t>
            </w:r>
          </w:p>
          <w:p w14:paraId="3A4EB7D2">
            <w:pPr>
              <w:spacing w:line="24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强苗</w:t>
            </w:r>
          </w:p>
        </w:tc>
      </w:tr>
    </w:tbl>
    <w:p w14:paraId="3624F3F0">
      <w:pPr>
        <w:rPr>
          <w:rFonts w:hint="eastAsia"/>
        </w:rPr>
      </w:pPr>
      <w:r>
        <w:rPr>
          <w:rFonts w:hint="eastAsia"/>
        </w:rPr>
        <w:br w:type="page"/>
      </w:r>
    </w:p>
    <w:p w14:paraId="520694F8">
      <w:pPr>
        <w:jc w:val="center"/>
        <w:rPr>
          <w:rFonts w:hint="eastAsia" w:ascii="黑体" w:hAnsi="黑体" w:eastAsia="黑体"/>
          <w:b/>
          <w:bCs/>
          <w:sz w:val="24"/>
          <w:szCs w:val="24"/>
        </w:rPr>
      </w:pPr>
      <w:r>
        <w:rPr>
          <w:rFonts w:hint="eastAsia" w:ascii="黑体" w:hAnsi="黑体" w:eastAsia="黑体"/>
          <w:b/>
          <w:bCs/>
          <w:sz w:val="24"/>
          <w:szCs w:val="24"/>
        </w:rPr>
        <w:t>第十一届全国大学生能</w:t>
      </w:r>
      <w:bookmarkStart w:id="1" w:name="_GoBack"/>
      <w:bookmarkEnd w:id="1"/>
      <w:r>
        <w:rPr>
          <w:rFonts w:hint="eastAsia" w:ascii="黑体" w:hAnsi="黑体" w:eastAsia="黑体"/>
          <w:b/>
          <w:bCs/>
          <w:sz w:val="24"/>
          <w:szCs w:val="24"/>
        </w:rPr>
        <w:t>源经济学术创意大赛蚌埠工商学院获奖名单</w:t>
      </w:r>
    </w:p>
    <w:p w14:paraId="2496EEA7">
      <w:pPr>
        <w:jc w:val="center"/>
        <w:rPr>
          <w:rFonts w:hint="eastAsia"/>
        </w:rPr>
      </w:pPr>
      <w:r>
        <w:rPr>
          <w:rFonts w:hint="eastAsia" w:ascii="黑体" w:hAnsi="黑体" w:eastAsia="黑体" w:cs="Helvetica"/>
          <w:b/>
          <w:bCs/>
          <w:color w:val="000000"/>
          <w:sz w:val="24"/>
          <w:szCs w:val="24"/>
        </w:rPr>
        <w:t xml:space="preserve">三等奖（ </w:t>
      </w:r>
      <w:r>
        <w:rPr>
          <w:rFonts w:hint="eastAsia" w:ascii="黑体" w:hAnsi="黑体" w:eastAsia="黑体"/>
          <w:sz w:val="24"/>
          <w:szCs w:val="24"/>
          <w:u w:val="single"/>
        </w:rPr>
        <w:t xml:space="preserve">  11 </w:t>
      </w:r>
      <w:r>
        <w:rPr>
          <w:rFonts w:hint="eastAsia" w:ascii="黑体" w:hAnsi="黑体" w:eastAsia="黑体" w:cs="Helvetica"/>
          <w:b/>
          <w:bCs/>
          <w:color w:val="000000"/>
          <w:sz w:val="24"/>
          <w:szCs w:val="24"/>
        </w:rPr>
        <w:t>项）</w:t>
      </w:r>
    </w:p>
    <w:tbl>
      <w:tblPr>
        <w:tblStyle w:val="5"/>
        <w:tblW w:w="8812" w:type="dxa"/>
        <w:jc w:val="center"/>
        <w:tblCellSpacing w:w="0" w:type="dxa"/>
        <w:shd w:val="clear" w:color="auto" w:fill="FFFFFF"/>
        <w:tblLayout w:type="fixed"/>
        <w:tblCellMar>
          <w:top w:w="0" w:type="dxa"/>
          <w:left w:w="0" w:type="dxa"/>
          <w:bottom w:w="0" w:type="dxa"/>
          <w:right w:w="0" w:type="dxa"/>
        </w:tblCellMar>
      </w:tblPr>
      <w:tblGrid>
        <w:gridCol w:w="850"/>
        <w:gridCol w:w="2931"/>
        <w:gridCol w:w="2005"/>
        <w:gridCol w:w="1391"/>
        <w:gridCol w:w="1635"/>
      </w:tblGrid>
      <w:tr w14:paraId="614C5858">
        <w:tblPrEx>
          <w:tblCellMar>
            <w:top w:w="0" w:type="dxa"/>
            <w:left w:w="0" w:type="dxa"/>
            <w:bottom w:w="0" w:type="dxa"/>
            <w:right w:w="0" w:type="dxa"/>
          </w:tblCellMar>
        </w:tblPrEx>
        <w:trPr>
          <w:trHeight w:val="1421"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19B9DCE6">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序号</w:t>
            </w:r>
          </w:p>
        </w:tc>
        <w:tc>
          <w:tcPr>
            <w:tcW w:w="2931"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021B67CA">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作品标题</w:t>
            </w:r>
          </w:p>
        </w:tc>
        <w:tc>
          <w:tcPr>
            <w:tcW w:w="2005"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3DCE62C9">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作品编号</w:t>
            </w:r>
          </w:p>
        </w:tc>
        <w:tc>
          <w:tcPr>
            <w:tcW w:w="1391"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381CD27B">
            <w:pPr>
              <w:jc w:val="center"/>
              <w:rPr>
                <w:rFonts w:ascii="Helvetica" w:hAnsi="Helvetica" w:eastAsia="宋体" w:cs="Helvetica"/>
                <w:color w:val="000000"/>
                <w:sz w:val="24"/>
                <w:szCs w:val="24"/>
              </w:rPr>
            </w:pPr>
            <w:r>
              <w:rPr>
                <w:rFonts w:hint="eastAsia" w:ascii="等线" w:hAnsi="等线" w:eastAsia="等线" w:cs="Helvetica"/>
                <w:b/>
                <w:bCs/>
                <w:color w:val="000000"/>
                <w:sz w:val="24"/>
                <w:szCs w:val="24"/>
              </w:rPr>
              <w:t>作品类型</w:t>
            </w:r>
          </w:p>
        </w:tc>
        <w:tc>
          <w:tcPr>
            <w:tcW w:w="1635" w:type="dxa"/>
            <w:tcBorders>
              <w:top w:val="single" w:color="auto" w:sz="6" w:space="0"/>
              <w:left w:val="single" w:color="auto" w:sz="6" w:space="0"/>
              <w:bottom w:val="single" w:color="auto" w:sz="6" w:space="0"/>
              <w:right w:val="single" w:color="auto" w:sz="6" w:space="0"/>
            </w:tcBorders>
            <w:shd w:val="clear" w:color="auto" w:fill="D8D8D8"/>
            <w:tcMar>
              <w:top w:w="0" w:type="dxa"/>
              <w:left w:w="105" w:type="dxa"/>
              <w:bottom w:w="0" w:type="dxa"/>
              <w:right w:w="105" w:type="dxa"/>
            </w:tcMar>
            <w:vAlign w:val="center"/>
          </w:tcPr>
          <w:p w14:paraId="208F7C9D">
            <w:pPr>
              <w:jc w:val="center"/>
              <w:rPr>
                <w:rFonts w:hint="eastAsia" w:ascii="等线" w:hAnsi="等线" w:eastAsia="等线" w:cs="Helvetica"/>
                <w:b/>
                <w:bCs/>
                <w:color w:val="000000"/>
                <w:sz w:val="24"/>
                <w:szCs w:val="24"/>
              </w:rPr>
            </w:pPr>
            <w:r>
              <w:rPr>
                <w:rFonts w:hint="eastAsia" w:ascii="等线" w:hAnsi="等线" w:eastAsia="等线" w:cs="Helvetica"/>
                <w:b/>
                <w:bCs/>
                <w:color w:val="000000"/>
                <w:sz w:val="24"/>
                <w:szCs w:val="24"/>
              </w:rPr>
              <w:t>全部作者</w:t>
            </w:r>
          </w:p>
        </w:tc>
      </w:tr>
      <w:tr w14:paraId="0864D428">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75F95F">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B9E234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电力行业的绿色经济转型路径与创新研究——基于低碳发展视角的战略分析</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A0F8D9">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ECC-2025-17674</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383612F">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8509233">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章翊旋</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郭运辰</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王坤</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占静蕾</w:t>
            </w:r>
          </w:p>
        </w:tc>
      </w:tr>
      <w:tr w14:paraId="1D8B2EB9">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BA813AA">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2</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5F1BCB1">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明知却微行——对大学生一次性塑料制品使用意愿和回收行为的调研</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4B93173">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ECC-2025-17303</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B1C13B5">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01C866">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茆天奇</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马文文</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周娜</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吴添寿</w:t>
            </w:r>
          </w:p>
        </w:tc>
      </w:tr>
      <w:tr w14:paraId="6F580596">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29F3BF">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3</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8E131A8">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新能源汽车在节能减排中的角色与效果评估调研报告</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DF2189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ECC-2025-09584</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19036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86A456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王雪茹</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任克勤</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张艳</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张云霞</w:t>
            </w:r>
          </w:p>
        </w:tc>
      </w:tr>
      <w:tr w14:paraId="727144FB">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0B5895D">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4</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604485">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农村能源消费革命视角下电力市场消费增长与能源消费结构转型研究 —基于省级面板数据</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61F9063">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ECC-2025-11091</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AB565D6">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74B40F9">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孙康静</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李芳莹</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余庆仪</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马锦园</w:t>
            </w:r>
          </w:p>
        </w:tc>
      </w:tr>
      <w:tr w14:paraId="33057583">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5CF9154">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5</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CC2192B">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秸秆利用视角下低碳经济与循环经济对节能减排的路径研究---基于熵值法和fsQCA混合的方法</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172C58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ECC-2025-15826</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2F63DB5">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0C4694F">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王洁乐</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张维婷</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朱文倩</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郑元琪</w:t>
            </w:r>
          </w:p>
        </w:tc>
      </w:tr>
      <w:tr w14:paraId="229B1F4C">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B23C8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6</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BCD7AF2">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基于大数据的能源效率监测与评估体系构建 ——实证分析太阳能效率与节能经济的关系</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E9621C9">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ECC-2025-11701</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DE36FC">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E4C0DE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席永嘉</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陈子妍</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黎漾</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葛心悦</w:t>
            </w:r>
          </w:p>
        </w:tc>
      </w:tr>
      <w:tr w14:paraId="08301CD1">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0E6D51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7</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2C93024">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双碳时代AI新航道：AGV机器人引领绿色智能变革</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4F9A9B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ECC-2025-20238</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E707E63">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泛能源大数据-能源经济类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945948">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宋妍</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夏楠</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张超</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丁浩</w:t>
            </w:r>
          </w:p>
        </w:tc>
      </w:tr>
      <w:tr w14:paraId="76A0B5D9">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0F3ED8E">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8</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F4E485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新能源经济的研究</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07B3E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ECC-2025-19966</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5C6B35C">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58FD5B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李昳娴</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刘思佳</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郭宇杰</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胥早早</w:t>
            </w:r>
          </w:p>
        </w:tc>
      </w:tr>
      <w:tr w14:paraId="56403E52">
        <w:tblPrEx>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88A430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9</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723C792">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昔日荒芜沙碛地，今朝能源基地兴：西部能源富集地区能源开发与经济可持续发展的路径选择——以陕西省榆林市为例</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8F34801">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ECC-2025-17399</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6D35BE7">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93471E">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刘晴晴</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孔垂珂</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徐诗雨</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张兆平</w:t>
            </w:r>
          </w:p>
        </w:tc>
      </w:tr>
      <w:tr w14:paraId="3D7B4DB3">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C04B96D">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10</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F514534">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碳识田源：精准农业农村减排固碳的“最强辅助”</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BCA670">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ECC-2025-11350</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8B1DB55">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调研与创新创业类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54E54A86">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李敏</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刘若丹</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贺瑶瑶</w:t>
            </w:r>
          </w:p>
        </w:tc>
      </w:tr>
      <w:tr w14:paraId="155BCC21">
        <w:tblPrEx>
          <w:shd w:val="clear" w:color="auto" w:fill="FFFFFF"/>
          <w:tblCellMar>
            <w:top w:w="0" w:type="dxa"/>
            <w:left w:w="0" w:type="dxa"/>
            <w:bottom w:w="0" w:type="dxa"/>
            <w:right w:w="0" w:type="dxa"/>
          </w:tblCellMar>
        </w:tblPrEx>
        <w:trPr>
          <w:trHeight w:val="1984" w:hRule="atLeast"/>
          <w:tblCellSpacing w:w="0" w:type="dxa"/>
          <w:jc w:val="center"/>
        </w:trPr>
        <w:tc>
          <w:tcPr>
            <w:tcW w:w="8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DBE2834">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11</w:t>
            </w:r>
          </w:p>
        </w:tc>
        <w:tc>
          <w:tcPr>
            <w:tcW w:w="293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1F080C">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关于牛羊粪便处理技术及其对减少有毒气体排放的影响研究</w:t>
            </w:r>
          </w:p>
        </w:tc>
        <w:tc>
          <w:tcPr>
            <w:tcW w:w="20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36398705">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ECC-2025-12967</w:t>
            </w:r>
          </w:p>
        </w:tc>
        <w:tc>
          <w:tcPr>
            <w:tcW w:w="139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0CA898">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能源经济类</w:t>
            </w:r>
          </w:p>
        </w:tc>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4CBD082F">
            <w:pPr>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张婉晴</w:t>
            </w:r>
          </w:p>
        </w:tc>
      </w:tr>
    </w:tbl>
    <w:p w14:paraId="19EDE9A8">
      <w:pPr>
        <w:rPr>
          <w:rFonts w:hint="eastAsi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91DB">
    <w:pPr>
      <w:pStyle w:val="2"/>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10C2F">
                          <w:pPr>
                            <w:pStyle w:val="2"/>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62710C2F">
                    <w:pPr>
                      <w:pStyle w:val="2"/>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F2D0">
    <w:pPr>
      <w:pStyle w:val="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85D4E"/>
    <w:rsid w:val="00086CB5"/>
    <w:rsid w:val="00181C5E"/>
    <w:rsid w:val="001C272D"/>
    <w:rsid w:val="001F2570"/>
    <w:rsid w:val="0031104E"/>
    <w:rsid w:val="003E2A5F"/>
    <w:rsid w:val="003E6753"/>
    <w:rsid w:val="004C20FF"/>
    <w:rsid w:val="00620F16"/>
    <w:rsid w:val="006F1E2B"/>
    <w:rsid w:val="00713338"/>
    <w:rsid w:val="0074317D"/>
    <w:rsid w:val="007D27F9"/>
    <w:rsid w:val="007F3D1D"/>
    <w:rsid w:val="0082138E"/>
    <w:rsid w:val="00932A84"/>
    <w:rsid w:val="00B1706D"/>
    <w:rsid w:val="00BD09EB"/>
    <w:rsid w:val="00C86E42"/>
    <w:rsid w:val="00C91731"/>
    <w:rsid w:val="00CE21AA"/>
    <w:rsid w:val="00D7416E"/>
    <w:rsid w:val="00D8387A"/>
    <w:rsid w:val="00E96A61"/>
    <w:rsid w:val="00EB5A03"/>
    <w:rsid w:val="00FC1732"/>
    <w:rsid w:val="0EC62D6A"/>
    <w:rsid w:val="0FED5C52"/>
    <w:rsid w:val="137F6853"/>
    <w:rsid w:val="16D52099"/>
    <w:rsid w:val="1700783D"/>
    <w:rsid w:val="1A107277"/>
    <w:rsid w:val="277D5657"/>
    <w:rsid w:val="3C985D4E"/>
    <w:rsid w:val="421F5E54"/>
    <w:rsid w:val="4AA15E16"/>
    <w:rsid w:val="5B6A4DC4"/>
    <w:rsid w:val="6D5661B6"/>
    <w:rsid w:val="705B1854"/>
    <w:rsid w:val="77C50B49"/>
    <w:rsid w:val="7918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仿宋" w:hAnsi="仿宋" w:eastAsia="仿宋" w:cs="Times New Roman"/>
      <w:sz w:val="28"/>
      <w:szCs w:val="28"/>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pPr>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1406</Words>
  <Characters>1743</Characters>
  <Lines>16</Lines>
  <Paragraphs>4</Paragraphs>
  <TotalTime>60</TotalTime>
  <ScaleCrop>false</ScaleCrop>
  <LinksUpToDate>false</LinksUpToDate>
  <CharactersWithSpaces>1757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2025-03-21T02:19:00Z</dcterms:created>
  <dc:creator>王娜娜</dc:creator>
  <cp:lastModifiedBy>苹果大福</cp:lastModifiedBy>
  <dcterms:modified xsi:type="dcterms:W3CDTF">2025-03-26T13:40:39Z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E7382CC935DE440E97946A13C3A9D19E_13</vt:lpwstr>
  </property>
  <property fmtid="{D5CDD505-2E9C-101B-9397-08002B2CF9AE}" pid="4" name="KSOTemplateDocerSaveRecord">
    <vt:lpwstr>eyJoZGlkIjoiYTJlY2RiZGZkMzdlMzc5NTRlNTA5ZWEzZmIyOGMxZGEiLCJ1c2VySWQiOiI4MTk1MzE5NTQifQ==</vt:lpwstr>
  </property>
</Properties>
</file>